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77C28">
      <w:pPr>
        <w:pBdr>
          <w:top w:val="none" w:color="222222" w:sz="0" w:space="0"/>
          <w:left w:val="none" w:color="222222" w:sz="0" w:space="0"/>
          <w:bottom w:val="single" w:color="CCCCCC" w:sz="2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Справка по реализации единого подхода к применению результатов оценочных процедур</w:t>
      </w:r>
    </w:p>
    <w:p w14:paraId="300D271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планом функционирования ВСОКО и дорожной картой по результатам анализа результатов оценочных процедур проведена проверка организации работы по использованию результатов оценочных процедур.</w:t>
      </w:r>
    </w:p>
    <w:p w14:paraId="6623CD6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 контроля: </w:t>
      </w:r>
      <w:r>
        <w:rPr>
          <w:rFonts w:hAnsi="Times New Roman" w:cs="Times New Roman"/>
          <w:color w:val="000000"/>
          <w:sz w:val="24"/>
          <w:szCs w:val="24"/>
        </w:rPr>
        <w:t>оценка реализации единого подхода к применению результатов оценочных процедур (письмо Минпросвещения от 05.06.2025 № ОК-1656/03).</w:t>
      </w:r>
    </w:p>
    <w:p w14:paraId="389EF9CF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Срок проверки</w:t>
      </w:r>
      <w:r>
        <w:rPr>
          <w:rFonts w:hAnsi="Times New Roman" w:cs="Times New Roman"/>
          <w:color w:val="000000"/>
          <w:sz w:val="24"/>
          <w:szCs w:val="24"/>
        </w:rPr>
        <w:t>: 05.10.2025-10.10.2025</w:t>
      </w:r>
    </w:p>
    <w:p w14:paraId="55C33C66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ходе проверки проанализированы:</w:t>
      </w:r>
    </w:p>
    <w:p w14:paraId="322D7B1F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дорожная карта по результатам анализа результатов оценочных процедур;</w:t>
      </w:r>
    </w:p>
    <w:p w14:paraId="1F6479BA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стартовых и входных работ;</w:t>
      </w:r>
    </w:p>
    <w:p w14:paraId="3B7F84BA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журналы учета успеваемости;</w:t>
      </w:r>
    </w:p>
    <w:p w14:paraId="47137294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планы работы и протоколы заседаний методических объединений</w:t>
      </w:r>
    </w:p>
    <w:p w14:paraId="71261A0B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протоколы посещений учебных занятий;</w:t>
      </w:r>
    </w:p>
    <w:p w14:paraId="46F88D1C"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протоколы собеседований с учителями</w:t>
      </w:r>
    </w:p>
    <w:p w14:paraId="422C2889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рекомендациями Минпросвещения о едином подходе к применению результатов федеральных, региональных и внутренних оценочных процедур, направленных письмом Минпросвещения от 05.06.2025 № ОК-1656/03, была разработана дорожная карта повышения качества образовательных результатов обучающихся.</w:t>
      </w:r>
    </w:p>
    <w:p w14:paraId="5D73046B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дорожной картой был проведен анализ результатов федеральных, региональных и внутренних оценочных процедур 2024/25 учебного года, стартовых и входных диагностических работ 2025/26 учебного года.</w:t>
      </w:r>
    </w:p>
    <w:p w14:paraId="1EC74007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Выявлены следующие предметные дефициты: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4"/>
        <w:gridCol w:w="2013"/>
        <w:gridCol w:w="1635"/>
        <w:gridCol w:w="3145"/>
      </w:tblGrid>
      <w:tr w14:paraId="765755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E53D78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Оценочная процедура</w:t>
            </w:r>
          </w:p>
        </w:tc>
        <w:tc>
          <w:tcPr>
            <w:tcW w:w="20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D91841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B631D9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AA88C5"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Предметный дефицит</w:t>
            </w:r>
          </w:p>
        </w:tc>
      </w:tr>
      <w:tr w14:paraId="42E604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CA4C977">
            <w:r>
              <w:rPr>
                <w:rFonts w:hAnsi="Times New Roman" w:cs="Times New Roman"/>
                <w:color w:val="000000"/>
                <w:sz w:val="24"/>
                <w:szCs w:val="24"/>
              </w:rPr>
              <w:t>Входная диагностическая работы</w:t>
            </w:r>
          </w:p>
        </w:tc>
        <w:tc>
          <w:tcPr>
            <w:tcW w:w="20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2E3F90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9FAFCCE">
            <w:r>
              <w:rPr>
                <w:rFonts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3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3C4C237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Выделять свойства и признаки организмов</w:t>
            </w:r>
          </w:p>
        </w:tc>
      </w:tr>
      <w:tr w14:paraId="1EF145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3AFF41F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работы</w:t>
            </w:r>
          </w:p>
        </w:tc>
        <w:tc>
          <w:tcPr>
            <w:tcW w:w="20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055377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E2AA8E6">
            <w:r>
              <w:rPr>
                <w:rFonts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3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7D376D6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выполнять арифметические действия с числами и числовыми выражениями</w:t>
            </w:r>
          </w:p>
        </w:tc>
      </w:tr>
      <w:tr w14:paraId="0CC210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2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DACE32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Входная диагностическая работы</w:t>
            </w:r>
          </w:p>
        </w:tc>
        <w:tc>
          <w:tcPr>
            <w:tcW w:w="20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366EB93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FA6DBAC">
            <w:r>
              <w:rPr>
                <w:rFonts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3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4E5E2FA"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вычислять значение величины при анализе явлений с использованием законов и формул</w:t>
            </w:r>
          </w:p>
        </w:tc>
      </w:tr>
    </w:tbl>
    <w:p w14:paraId="3A5558F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В соотвествии с дорожной картой в сентябре-октябре 2025/26 учебного года организована работа по устранению образовательных дефицитов, выявленных у обучающихся при проведении оценочных процедур:</w:t>
      </w:r>
    </w:p>
    <w:p w14:paraId="52F48E5C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 на заседаниях методобъединений обсудили причины низких результатов учеников и предметные дифициты;</w:t>
      </w:r>
    </w:p>
    <w:p w14:paraId="2DB1294A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планы работы методобъединений включили работу по устранению предметных дефицитов;</w:t>
      </w:r>
    </w:p>
    <w:p w14:paraId="3B8A4412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На уроках педагоги проводят работу по устранению дефицитов, которые выявили в ходе оценочных процедур – организовали работу над ошибками и включили задания на устранение пробелов;</w:t>
      </w:r>
    </w:p>
    <w:p w14:paraId="438716FA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Педагоги применяют кодификаторы требований к метапредметным и предметным результатам из ФОП при проведении внутреннего оценивания;</w:t>
      </w:r>
    </w:p>
    <w:p w14:paraId="23CBECBE">
      <w:pPr>
        <w:numPr>
          <w:numId w:val="0"/>
        </w:numPr>
        <w:spacing w:beforeAutospacing="1" w:afterAutospacing="1" w:line="240" w:lineRule="auto"/>
        <w:ind w:right="180" w:rightChars="0"/>
        <w:rPr>
          <w:rFonts w:hAnsi="Times New Roman" w:cs="Times New Roman"/>
          <w:color w:val="000000"/>
          <w:sz w:val="24"/>
          <w:szCs w:val="24"/>
        </w:rPr>
      </w:pPr>
    </w:p>
    <w:p w14:paraId="68F4BFB3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были организованы консультации для родителей с целью знакомства с содержанием образования, используемыми методами обучения и воспитания, образовательными технологиями. На консультациях была проведена информационно-разъяснительная работа по процедуре проведения оценочных процедур, структуре и содержанию контрольных и диагностических работ, системе оценивания.</w:t>
      </w:r>
    </w:p>
    <w:p w14:paraId="186601F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Вывод:</w:t>
      </w:r>
    </w:p>
    <w:p w14:paraId="246F1637"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школа использует результаты оценочных процедур с целью повышения качества образования в соответствии с рекомендациями Минпросвещения, направленных письмом от 05.06.2025 № ОК-1656/03</w:t>
      </w:r>
    </w:p>
    <w:p w14:paraId="72C957D4"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школе ведется работа по устранению дефицитов, выявленных в ходе оценочных процедур в соответствии с дорожной картой.</w:t>
      </w:r>
    </w:p>
    <w:p w14:paraId="422C0EC5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Рекомендации:</w:t>
      </w:r>
    </w:p>
    <w:p w14:paraId="5D3603C1"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разместить на официальном сайте и школьном стенде информационные материалы вопросам подготовки к ГИА в срок до </w:t>
      </w:r>
      <w:r>
        <w:rPr>
          <w:rFonts w:hint="default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5.10.2025;</w:t>
      </w:r>
    </w:p>
    <w:p w14:paraId="3AA0E6F9">
      <w:pPr>
        <w:numPr>
          <w:numId w:val="0"/>
        </w:numPr>
        <w:spacing w:beforeAutospacing="1" w:afterAutospacing="1" w:line="240" w:lineRule="auto"/>
        <w:ind w:left="420" w:leftChars="0" w:right="180" w:rightChars="0"/>
        <w:rPr>
          <w:rFonts w:hAnsi="Times New Roman" w:cs="Times New Roman"/>
          <w:color w:val="000000"/>
          <w:sz w:val="24"/>
          <w:szCs w:val="24"/>
        </w:rPr>
      </w:pPr>
    </w:p>
    <w:p w14:paraId="6C0794ED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Справку подготовил(а):</w:t>
      </w:r>
    </w:p>
    <w:tbl>
      <w:tblPr>
        <w:tblStyle w:val="4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40"/>
        <w:gridCol w:w="561"/>
        <w:gridCol w:w="2435"/>
        <w:gridCol w:w="375"/>
        <w:gridCol w:w="1966"/>
      </w:tblGrid>
      <w:tr w14:paraId="0F751F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3701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D082F6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B8ECCDE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8252B72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М</w:t>
            </w:r>
            <w:r>
              <w:rPr>
                <w:rFonts w:hint="default"/>
                <w:lang w:val="ru-RU"/>
              </w:rPr>
              <w:t>.А. Смирнова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6EA2EA5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B4A86C8"/>
        </w:tc>
      </w:tr>
      <w:tr w14:paraId="4F33BB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3701" w:type="dxa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6F64038"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918B902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A3BE89A"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36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DBD5901"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CFDE1D7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p w14:paraId="5BED882B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77BC45"/>
    <w:multiLevelType w:val="multilevel"/>
    <w:tmpl w:val="9377BC4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9D5D7490"/>
    <w:multiLevelType w:val="multilevel"/>
    <w:tmpl w:val="9D5D749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B0ED9BEA"/>
    <w:multiLevelType w:val="multilevel"/>
    <w:tmpl w:val="B0ED9BE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BDA1395C"/>
    <w:multiLevelType w:val="multilevel"/>
    <w:tmpl w:val="BDA1395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54EE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1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Professional</dc:creator>
  <dc:description>Подготовлено экспертами Группы Актион</dc:description>
  <cp:lastModifiedBy>Professional</cp:lastModifiedBy>
  <dcterms:modified xsi:type="dcterms:W3CDTF">2025-10-16T16:15:45Z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6FB518DEA2274DA4908CEAE2C802737F_13</vt:lpwstr>
  </property>
</Properties>
</file>