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ECF57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Аналитическая справка по итогам контроля</w:t>
      </w:r>
      <w:r>
        <w:br w:type="textWrapping"/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реализации единой модели профориентации</w:t>
      </w:r>
      <w:r>
        <w:br w:type="textWrapping"/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 202</w:t>
      </w:r>
      <w:r>
        <w:rPr>
          <w:rFonts w:hint="default" w:hAnsi="Times New Roman" w:cs="Times New Roman"/>
          <w:b/>
          <w:bCs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/2</w:t>
      </w:r>
      <w:r>
        <w:rPr>
          <w:rFonts w:hint="default" w:hAnsi="Times New Roman" w:cs="Times New Roman"/>
          <w:b/>
          <w:bCs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учебный год</w:t>
      </w:r>
    </w:p>
    <w:p w14:paraId="0F5A7D17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планом внутришкольного контроля на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2024-25</w:t>
      </w:r>
      <w:r>
        <w:rPr>
          <w:rFonts w:hAnsi="Times New Roman" w:cs="Times New Roman"/>
          <w:color w:val="000000"/>
          <w:sz w:val="24"/>
          <w:szCs w:val="24"/>
        </w:rPr>
        <w:t> учебный год проведен анализ реализации единой модели профориентации за учебный год (далее – ЕМП).</w:t>
      </w:r>
    </w:p>
    <w:p w14:paraId="22E79BAA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Объекты контроля:</w:t>
      </w:r>
      <w:r>
        <w:rPr>
          <w:rFonts w:hAnsi="Times New Roman" w:cs="Times New Roman"/>
          <w:color w:val="000000"/>
          <w:sz w:val="24"/>
          <w:szCs w:val="24"/>
        </w:rPr>
        <w:t> реализация ЕМП в рамках модуля «Профориентация» рабочей программы воспитания МОУ «С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уховерковская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СОШ</w:t>
      </w:r>
      <w:r>
        <w:rPr>
          <w:rFonts w:hAnsi="Times New Roman" w:cs="Times New Roman"/>
          <w:color w:val="000000"/>
          <w:sz w:val="24"/>
          <w:szCs w:val="24"/>
        </w:rPr>
        <w:t>».</w:t>
      </w:r>
    </w:p>
    <w:p w14:paraId="69969147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 ПРОВЕРКИ</w:t>
      </w:r>
    </w:p>
    <w:p w14:paraId="07520D6F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Согласно рабочей программе воспитания и календарным планам воспитательной работы уровней ООО и СОО реализация ЕМП в МОУ «С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уховерковская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СОШ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осуществлялась в рамках инвариантного модуля «Профориентация».</w:t>
      </w:r>
    </w:p>
    <w:p w14:paraId="67094349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рамках реализации Федерального проекта «Профессионалитет» национального проекта «Молодежь и дети» и в соответствии с Методическими рекомендациями ЕМП и Порядком реализации ЕМП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2024-25</w:t>
      </w:r>
      <w:r>
        <w:rPr>
          <w:rFonts w:hAnsi="Times New Roman" w:cs="Times New Roman"/>
          <w:color w:val="000000"/>
          <w:sz w:val="24"/>
          <w:szCs w:val="24"/>
        </w:rPr>
        <w:t> учебном году ЕМП для обучающихся 6–11-х классов школа реализовывала на базовом уровне.</w:t>
      </w:r>
    </w:p>
    <w:p w14:paraId="26171FEE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 реализации базового уровня</w:t>
      </w:r>
      <w:r>
        <w:rPr>
          <w:rFonts w:hAnsi="Times New Roman" w:cs="Times New Roman"/>
          <w:color w:val="000000"/>
          <w:sz w:val="24"/>
          <w:szCs w:val="24"/>
        </w:rPr>
        <w:t xml:space="preserve"> – развивать представления учеников о своих возможностях и способностях, а также об уровне развития современных производств и технологий, разнообразии профессий и специальностей, важности трудовой деятельности и выбора ее специфики, вкладе основного общего и среднего общего образования в будущий профессиональный успех.</w:t>
      </w:r>
    </w:p>
    <w:p w14:paraId="536AD76C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Задачи базового уровня:</w:t>
      </w:r>
    </w:p>
    <w:p w14:paraId="3075C356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и систематизация первичной профориентационной помощи;</w:t>
      </w:r>
    </w:p>
    <w:p w14:paraId="6E68C9D4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представлений обучающихся о современном разнообразии профессий и специальностей, важности трудовой деятельности и выбора ее специфики, возможностях профессионального образования;</w:t>
      </w:r>
    </w:p>
    <w:p w14:paraId="27BFA1A3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информирование обучающихся о содержании деятельности востребованных на рынке труда специалистов;</w:t>
      </w:r>
    </w:p>
    <w:p w14:paraId="2CF22ADF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мотивации обучающихся к профессиональному самоопределению;</w:t>
      </w:r>
    </w:p>
    <w:p w14:paraId="4BCD95AD"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диагностика склонностей обучающихся к профессиональным направлениям.</w:t>
      </w:r>
    </w:p>
    <w:p w14:paraId="7FE34C6C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реализации программы базового уровня в МОУ «С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уховерковская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СОШ</w:t>
      </w:r>
      <w:r>
        <w:rPr>
          <w:rFonts w:hAnsi="Times New Roman" w:cs="Times New Roman"/>
          <w:color w:val="000000"/>
          <w:sz w:val="24"/>
          <w:szCs w:val="24"/>
        </w:rPr>
        <w:t>» для участия обучающихся 6–11-х классов в профориентационной деятельности созданы следующие организационные и методические условия:</w:t>
      </w:r>
    </w:p>
    <w:p w14:paraId="70C49680"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назначен ответственный администратор по профориентации – заместитель директора по воспитательной работе;</w:t>
      </w:r>
    </w:p>
    <w:p w14:paraId="6EAC3CBB"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определены ответственные педагоги-навигаторы по организации профориентационной работы – классные руководители 6–11-х классов, педагог-психолог 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авыдова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Н.А.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40CBDEA"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специалисты по организации профориентационной работы прошли обучение по программе ДПО в объеме не менее 36 академических часов и инструктаж по организации и проведению профориентационной работы объемом 6 академических часов;</w:t>
      </w:r>
    </w:p>
    <w:p w14:paraId="2BA7FA10"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сформированы учебные группы для участия в профориентационных мероприятиях из числа обучающихся 6–11-х классов;</w:t>
      </w:r>
    </w:p>
    <w:p w14:paraId="54F11AAE"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разработан план профориентационной работы с учетом возрастных и индивидуальных особенностей обучающихся.</w:t>
      </w:r>
    </w:p>
    <w:p w14:paraId="1E9AC1D6">
      <w:pPr>
        <w:spacing w:line="240" w:lineRule="auto"/>
        <w:rPr>
          <w:rFonts w:hAnsi="Times New Roman" w:cs="Times New Roman"/>
          <w:color w:val="000000"/>
          <w:sz w:val="24"/>
          <w:szCs w:val="24"/>
          <w:highlight w:val="red"/>
        </w:rPr>
      </w:pPr>
      <w:r>
        <w:rPr>
          <w:rFonts w:hAnsi="Times New Roman" w:cs="Times New Roman"/>
          <w:color w:val="000000"/>
          <w:sz w:val="24"/>
          <w:szCs w:val="24"/>
        </w:rPr>
        <w:t>Для реализации ЕМП привлечены ресурсы</w:t>
      </w:r>
      <w:r>
        <w:rPr>
          <w:rFonts w:hAnsi="Times New Roman" w:cs="Times New Roman"/>
          <w:color w:val="000000"/>
          <w:sz w:val="24"/>
          <w:szCs w:val="24"/>
          <w:highlight w:val="red"/>
        </w:rPr>
        <w:t xml:space="preserve"> организаций-партнеров:</w:t>
      </w:r>
    </w:p>
    <w:p w14:paraId="139F842D"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Политехнический колледж;</w:t>
      </w:r>
    </w:p>
    <w:p w14:paraId="21D3C739"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Медицинский колледж;</w:t>
      </w:r>
    </w:p>
    <w:p w14:paraId="16E7274D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Формат привлечения партнеров к реализации ЕМП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2024-25</w:t>
      </w:r>
      <w:r>
        <w:rPr>
          <w:rFonts w:hAnsi="Times New Roman" w:cs="Times New Roman"/>
          <w:color w:val="000000"/>
          <w:sz w:val="24"/>
          <w:szCs w:val="24"/>
        </w:rPr>
        <w:t> учебном году:</w:t>
      </w:r>
    </w:p>
    <w:p w14:paraId="48EE9AAD"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и проведение профессиональных проб на базе организаций-партнеров;</w:t>
      </w:r>
    </w:p>
    <w:p w14:paraId="22A09058"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привлечение организаций-партнеров к участию в Дне профессии, Дне открытых дверей, Дне выпускника;</w:t>
      </w:r>
    </w:p>
    <w:p w14:paraId="6D39A427">
      <w:pPr>
        <w:numPr>
          <w:numId w:val="0"/>
        </w:numPr>
        <w:spacing w:beforeAutospacing="1" w:afterAutospacing="1" w:line="240" w:lineRule="auto"/>
        <w:ind w:right="180" w:rightChars="0"/>
        <w:rPr>
          <w:rFonts w:hAnsi="Times New Roman" w:cs="Times New Roman"/>
          <w:color w:val="000000"/>
          <w:sz w:val="24"/>
          <w:szCs w:val="24"/>
        </w:rPr>
      </w:pPr>
    </w:p>
    <w:p w14:paraId="3A717AE7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2024-25</w:t>
      </w:r>
      <w:r>
        <w:rPr>
          <w:rFonts w:hAnsi="Times New Roman" w:cs="Times New Roman"/>
          <w:color w:val="000000"/>
          <w:sz w:val="24"/>
          <w:szCs w:val="24"/>
        </w:rPr>
        <w:t> учебном году в рамках ЕМП реализованы следующие мероприятия: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30"/>
        <w:gridCol w:w="3832"/>
        <w:gridCol w:w="2915"/>
      </w:tblGrid>
      <w:tr w14:paraId="155B4C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D6615B9">
            <w:pPr>
              <w:rPr>
                <w:rFonts w:hint="default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02.09.202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A684FAB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расписании занятий внеурочной деятельности 6–11-х классов предусмотрено проведение профориентационных уроков еженедельно (по четвергам, 1 час)</w:t>
            </w:r>
          </w:p>
        </w:tc>
        <w:tc>
          <w:tcPr>
            <w:tcW w:w="29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67FBB35">
            <w:pPr>
              <w:rPr>
                <w:rFonts w:hint="default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УВР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Смирнова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М.А.</w:t>
            </w:r>
          </w:p>
        </w:tc>
      </w:tr>
      <w:tr w14:paraId="4D5691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B5BE845">
            <w:pPr>
              <w:rPr>
                <w:rFonts w:hint="default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10.09.202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DCAA2FB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Регистрация школы в проекте «Билет в будущее» – зарегистрировано  (100%) обучающихся 6–11-х классов</w:t>
            </w:r>
          </w:p>
        </w:tc>
        <w:tc>
          <w:tcPr>
            <w:tcW w:w="29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FE854FB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Директор школы Давыдова Н.А.</w:t>
            </w:r>
          </w:p>
        </w:tc>
      </w:tr>
      <w:tr w14:paraId="433636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F79D2F9">
            <w:pPr>
              <w:rPr>
                <w:rFonts w:hint="default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20.09.202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9BEDE0A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Онлайн-диагностика обучающихся 6–11-х классов. Приняли участие в диагностике 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 xml:space="preserve">0%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 6–11-х классов</w:t>
            </w:r>
          </w:p>
        </w:tc>
        <w:tc>
          <w:tcPr>
            <w:tcW w:w="29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63BD992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 Дунина П.В., классные руководители</w:t>
            </w:r>
          </w:p>
        </w:tc>
      </w:tr>
      <w:tr w14:paraId="72EB7E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1A03424">
            <w:pPr>
              <w:rPr>
                <w:rFonts w:hint="default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23.09.202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–27.09.202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89500C8"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Групповые консультации с обсуждением результатов онлайн-диагностики</w:t>
            </w:r>
          </w:p>
        </w:tc>
        <w:tc>
          <w:tcPr>
            <w:tcW w:w="29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299708B">
            <w:pPr>
              <w:rPr>
                <w:rFonts w:hint="default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 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авыдова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Н.А.</w:t>
            </w:r>
          </w:p>
        </w:tc>
      </w:tr>
      <w:tr w14:paraId="46E3DD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71499CE">
            <w:pPr>
              <w:rPr>
                <w:rFonts w:hint="default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27.09.202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40313CE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Обеспечена возможность участия родителей обучающихся 6–11-х классов в родительском собрании по профориентации </w:t>
            </w:r>
          </w:p>
        </w:tc>
        <w:tc>
          <w:tcPr>
            <w:tcW w:w="29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4EF3465">
            <w:pPr>
              <w:rPr>
                <w:rFonts w:hint="default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воспитательной работе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Миронова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Е.С.</w:t>
            </w:r>
          </w:p>
        </w:tc>
      </w:tr>
      <w:tr w14:paraId="51511D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530C40B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13.02.2026</w:t>
            </w:r>
          </w:p>
        </w:tc>
        <w:tc>
          <w:tcPr>
            <w:tcW w:w="3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B83BF89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Организована экскурсия обучающихся 10 «А» класса естественно-научного профиля в Энскую городскую больницу.</w:t>
            </w:r>
          </w:p>
          <w:p w14:paraId="5AEC4121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Цель: познакомить обучающихся с подробностями ежедневной профессиональной деятельности конкретных специалистов, погрузить их в профессиональный контекст, «примерить» медицинские профессии на себя</w:t>
            </w:r>
          </w:p>
        </w:tc>
        <w:tc>
          <w:tcPr>
            <w:tcW w:w="29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87CF676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 10-го класса</w:t>
            </w:r>
          </w:p>
        </w:tc>
      </w:tr>
    </w:tbl>
    <w:p w14:paraId="76B8C712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 w14:paraId="4FA5C153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рамках модуля «Профориентация» рабочей программы воспитания МОУ «С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уховерковская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СОШ</w:t>
      </w:r>
      <w:r>
        <w:rPr>
          <w:rFonts w:hAnsi="Times New Roman" w:cs="Times New Roman"/>
          <w:color w:val="000000"/>
          <w:sz w:val="24"/>
          <w:szCs w:val="24"/>
        </w:rPr>
        <w:t xml:space="preserve">» и с целью реализации ЕМП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2024-25</w:t>
      </w:r>
      <w:r>
        <w:rPr>
          <w:rFonts w:hAnsi="Times New Roman" w:cs="Times New Roman"/>
          <w:color w:val="000000"/>
          <w:sz w:val="24"/>
          <w:szCs w:val="24"/>
        </w:rPr>
        <w:t> учебном году была выстроена системная профориентационная работа на всех уровнях образования.</w:t>
      </w:r>
    </w:p>
    <w:p w14:paraId="0365DB27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На уровне НОО</w:t>
      </w:r>
      <w:r>
        <w:rPr>
          <w:rFonts w:hAnsi="Times New Roman" w:cs="Times New Roman"/>
          <w:color w:val="000000"/>
          <w:sz w:val="24"/>
          <w:szCs w:val="24"/>
        </w:rPr>
        <w:t> школа реализует пропедевтический этап профориентации. Проводилась работа с целью формирования у младших школьников ценностного отношения к труду, понимания его роли в жизни человека и в обществе; развития интереса к учебно-познавательной деятельности.</w:t>
      </w:r>
    </w:p>
    <w:p w14:paraId="7FA948F9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младших школьников были организованы школьные конкурсы-выставки:</w:t>
      </w:r>
    </w:p>
    <w:p w14:paraId="636A7C92"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выставка «Россия – моя Родина». Ребята представили свои поделки, рисунки, аппликации, коллажи, выполненные самостоятельно и совместно с педагогами и родителями;</w:t>
      </w:r>
    </w:p>
    <w:p w14:paraId="36CEAA8B"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конкурсы рисунка «Труд глазами детей», «Спасатели глазами детей», конкурс экологического рисунка, конкурс рисунков спортивной тематики «Следуй за мечтой», конкурс открыток «Послание ветерану» и др.</w:t>
      </w:r>
    </w:p>
    <w:p w14:paraId="07A9ADDB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Основная форма профориентационной работы с обучающимися НОО – классные часы. Тематика классных часов по профориентации, проведенных в течение учебного года, разнообразна:</w:t>
      </w:r>
    </w:p>
    <w:p w14:paraId="313284E9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1-е классы:</w:t>
      </w:r>
    </w:p>
    <w:p w14:paraId="4CB60919"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«Все профессии важны»;</w:t>
      </w:r>
    </w:p>
    <w:p w14:paraId="77D2DA89"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«Умелые руки не знают скуки»;</w:t>
      </w:r>
    </w:p>
    <w:p w14:paraId="572AFDE6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2-е классы:</w:t>
      </w:r>
    </w:p>
    <w:p w14:paraId="359B9170"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«Профессии наших родителей»;</w:t>
      </w:r>
    </w:p>
    <w:p w14:paraId="2F4EB58D"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«Труд побеждает все»;</w:t>
      </w:r>
    </w:p>
    <w:p w14:paraId="5CE52305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3-и классы:</w:t>
      </w:r>
    </w:p>
    <w:p w14:paraId="087F4E7E"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«Ярмарка профессий»;</w:t>
      </w:r>
    </w:p>
    <w:p w14:paraId="41641F51"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«Любимое дело – мое счастливое будущее»;</w:t>
      </w:r>
    </w:p>
    <w:p w14:paraId="26F99084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4-е классы:</w:t>
      </w:r>
    </w:p>
    <w:p w14:paraId="0ACBCB02"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 профессиях разных – нужных и важных»;</w:t>
      </w:r>
    </w:p>
    <w:p w14:paraId="1C85741C"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игра «Я о людях расскажу»;</w:t>
      </w:r>
    </w:p>
    <w:p w14:paraId="2603B790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начальной школе профориентационная работа осуществлялась также в рамках модуля «Внеурочная деятельность» в ходе реализации программ внеурочной деятельности:</w:t>
      </w:r>
    </w:p>
    <w:p w14:paraId="71131F26"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highlight w:val="yellow"/>
        </w:rPr>
      </w:pPr>
      <w:r>
        <w:rPr>
          <w:rFonts w:hAnsi="Times New Roman" w:cs="Times New Roman"/>
          <w:color w:val="000000"/>
          <w:sz w:val="24"/>
          <w:szCs w:val="24"/>
          <w:highlight w:val="yellow"/>
        </w:rPr>
        <w:t>«В мире музыки» (руководитель Быкова И.И.), «Ритмика и танец» (руководитель Шаргаева Я.С.);</w:t>
      </w:r>
    </w:p>
    <w:p w14:paraId="5C35BE2E"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highlight w:val="yellow"/>
        </w:rPr>
      </w:pPr>
      <w:r>
        <w:rPr>
          <w:rFonts w:hAnsi="Times New Roman" w:cs="Times New Roman"/>
          <w:color w:val="000000"/>
          <w:sz w:val="24"/>
          <w:szCs w:val="24"/>
          <w:highlight w:val="yellow"/>
        </w:rPr>
        <w:t>«Шахматы в школе» (руководитель Кусков В.Л.);</w:t>
      </w:r>
    </w:p>
    <w:p w14:paraId="2B47872D"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highlight w:val="yellow"/>
        </w:rPr>
      </w:pPr>
      <w:r>
        <w:rPr>
          <w:rFonts w:hAnsi="Times New Roman" w:cs="Times New Roman"/>
          <w:color w:val="000000"/>
          <w:sz w:val="24"/>
          <w:szCs w:val="24"/>
          <w:highlight w:val="yellow"/>
        </w:rPr>
        <w:t>«Творческая деятельность в среде программирования Scretch» (руководители Бостан А.А., Набздорова Л.В.);</w:t>
      </w:r>
    </w:p>
    <w:p w14:paraId="5561147A"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14:paraId="700E29CB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На уровне ООО</w:t>
      </w:r>
      <w:r>
        <w:rPr>
          <w:rFonts w:hAnsi="Times New Roman" w:cs="Times New Roman"/>
          <w:color w:val="000000"/>
          <w:sz w:val="24"/>
          <w:szCs w:val="24"/>
        </w:rPr>
        <w:t> профориентационная работа реализовывалась посредством:</w:t>
      </w:r>
    </w:p>
    <w:p w14:paraId="1406FA20"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организации внеурочных занятий «Россия – мои горизонты» в 6–9-х классах;</w:t>
      </w:r>
    </w:p>
    <w:p w14:paraId="05BE13A7"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привлечения учеников в объединения дополнительного образования и внеурочной деятельности;</w:t>
      </w:r>
    </w:p>
    <w:p w14:paraId="33C8335C"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привлечения учеников к общественно-полезной работе, участия в акциях трудового десанта и волонтерского отряда;</w:t>
      </w:r>
    </w:p>
    <w:p w14:paraId="56F82F39"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участия учеников в выездных мастер-классах в организациях СПО;</w:t>
      </w:r>
    </w:p>
    <w:p w14:paraId="1C6B15D5"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участия учеников в интерактивах по профориентации;</w:t>
      </w:r>
    </w:p>
    <w:p w14:paraId="22DCBE20"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проведения классных часов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.</w:t>
      </w:r>
    </w:p>
    <w:p w14:paraId="418F3F6D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рамках общественно-полезной деятельности ученики вместе с классными руководителями участвовали в работе на пришкольном участке.</w:t>
      </w:r>
    </w:p>
    <w:p w14:paraId="39D7DDD8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>
        <w:rPr>
          <w:rFonts w:hAnsi="Times New Roman" w:cs="Times New Roman"/>
          <w:color w:val="000000"/>
          <w:sz w:val="24"/>
          <w:szCs w:val="24"/>
        </w:rPr>
        <w:t>-психолог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Давыдовой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Н.А</w:t>
      </w:r>
      <w:r>
        <w:rPr>
          <w:rFonts w:hAnsi="Times New Roman" w:cs="Times New Roman"/>
          <w:color w:val="000000"/>
          <w:sz w:val="24"/>
          <w:szCs w:val="24"/>
        </w:rPr>
        <w:t>. проведены диагностики с целью выявления профессиональных намерений и склонностей школьников. </w:t>
      </w:r>
      <w:r>
        <w:br w:type="textWrapping"/>
      </w:r>
      <w:r>
        <w:rPr>
          <w:rFonts w:hAnsi="Times New Roman" w:cs="Times New Roman"/>
          <w:color w:val="000000"/>
          <w:sz w:val="24"/>
          <w:szCs w:val="24"/>
        </w:rPr>
        <w:t>Оказана информационно-справочная помощь, позволяющая расширить представления о мире профессионального труда, содержании профессий, требованиях, предъявляемых к человеку той или иной профессии.</w:t>
      </w:r>
    </w:p>
    <w:p w14:paraId="09707B46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На уровне СОО</w:t>
      </w:r>
      <w:r>
        <w:rPr>
          <w:rFonts w:hAnsi="Times New Roman" w:cs="Times New Roman"/>
          <w:color w:val="000000"/>
          <w:sz w:val="24"/>
          <w:szCs w:val="24"/>
        </w:rPr>
        <w:t> профориентационная работа направлялась:</w:t>
      </w:r>
    </w:p>
    <w:p w14:paraId="711BC512"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формирование опыта обучающихся в определенных профессиональных сферах;</w:t>
      </w:r>
    </w:p>
    <w:p w14:paraId="19ADB613"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у обучающихся навыков по самоподготовке и саморазвитию;</w:t>
      </w:r>
    </w:p>
    <w:p w14:paraId="6CE06DB4"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изучение качеств личности, необходимых в избранной профессиональной сфере;</w:t>
      </w:r>
    </w:p>
    <w:p w14:paraId="527106F3"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коррекцию профессиональных планов;</w:t>
      </w:r>
    </w:p>
    <w:p w14:paraId="2BD78213"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оценку готовности к избранной деятельности.</w:t>
      </w:r>
    </w:p>
    <w:p w14:paraId="49E20739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Профориентационная работа в 9–11-х классах реализовывалась через  разнообразные виды и формы деятельности:</w:t>
      </w:r>
    </w:p>
    <w:p w14:paraId="37760B92"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внеурочные занятия «Россия – мои горизонты» в 10–11-х классах;</w:t>
      </w:r>
    </w:p>
    <w:p w14:paraId="55FFFB6A"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профессиональные пробы;</w:t>
      </w:r>
    </w:p>
    <w:p w14:paraId="2D1C9DD2"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факультативные занятия и курсы по выбору;</w:t>
      </w:r>
    </w:p>
    <w:p w14:paraId="786064CA"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групповые и индивидуальные консультации с целью выявления и формирования адекватного принятия решения о выборе направления профессиональной подготовки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.</w:t>
      </w:r>
    </w:p>
    <w:p w14:paraId="10CCEF28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Классные руководители совместно с педагогом-психологом составили карты интересов обучающихся по данным наблюдений, тестирования и анкетирования, где зафиксированы увлечения и интересы школьников, их участие в профориентационных событиях.</w:t>
      </w:r>
    </w:p>
    <w:p w14:paraId="7BC035A9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9–11-х классах проведены следующие профориентационные события:</w:t>
      </w:r>
    </w:p>
    <w:p w14:paraId="36AE96BA"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Социальное тестирование, итоги которого были подведены на классном часе «Выбор профессии». Профессиональный выбор обучающихся совпал с данными тестовых результатов.</w:t>
      </w:r>
    </w:p>
    <w:p w14:paraId="1B2E131F"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Профориентационная декада, в ходе которой организована экскурсия на стабильно работающее предприятие </w:t>
      </w:r>
      <w:r>
        <w:rPr>
          <w:rFonts w:hAnsi="Times New Roman" w:cs="Times New Roman"/>
          <w:color w:val="000000"/>
          <w:sz w:val="24"/>
          <w:szCs w:val="24"/>
          <w:highlight w:val="yellow"/>
        </w:rPr>
        <w:t>ООО «</w:t>
      </w:r>
      <w:r>
        <w:rPr>
          <w:rFonts w:hint="default" w:hAnsi="Times New Roman" w:cs="Times New Roman"/>
          <w:color w:val="000000"/>
          <w:sz w:val="24"/>
          <w:szCs w:val="24"/>
          <w:highlight w:val="yellow"/>
          <w:lang w:val="ru-RU"/>
        </w:rPr>
        <w:t>___</w:t>
      </w:r>
      <w:r>
        <w:rPr>
          <w:rFonts w:hAnsi="Times New Roman" w:cs="Times New Roman"/>
          <w:color w:val="000000"/>
          <w:sz w:val="24"/>
          <w:szCs w:val="24"/>
          <w:highlight w:val="yellow"/>
        </w:rPr>
        <w:t>»,</w:t>
      </w:r>
      <w:r>
        <w:rPr>
          <w:rFonts w:hAnsi="Times New Roman" w:cs="Times New Roman"/>
          <w:color w:val="000000"/>
          <w:sz w:val="24"/>
          <w:szCs w:val="24"/>
        </w:rPr>
        <w:t xml:space="preserve"> проведены открытые уроки занятости «Выбор профессии».</w:t>
      </w:r>
    </w:p>
    <w:p w14:paraId="7DF21509"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Родительские лектории «Союз семьи и школы», «Как помочь, а не помешать ребенку в выборе профессии».</w:t>
      </w:r>
    </w:p>
    <w:p w14:paraId="26346D71"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Оформлены уголки профориентации.</w:t>
      </w:r>
    </w:p>
    <w:p w14:paraId="0F0D8D2C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Качество профориентационной работы в школе определялось по показателям эффективности с помощью формы контроля и оценки уровня профориентационной деятельности.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2024-25</w:t>
      </w:r>
      <w:r>
        <w:rPr>
          <w:rFonts w:hAnsi="Times New Roman" w:cs="Times New Roman"/>
          <w:color w:val="000000"/>
          <w:sz w:val="24"/>
          <w:szCs w:val="24"/>
        </w:rPr>
        <w:t>  учебном году эффективность реализации ЕМП и профориентационной работы отразилась в следующих результатах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83"/>
        <w:gridCol w:w="4574"/>
      </w:tblGrid>
      <w:tr w14:paraId="6B734B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44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5517C73"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4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1D91357"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</w:p>
        </w:tc>
      </w:tr>
      <w:tr w14:paraId="130A67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44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FBACE8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Статистика охвата учеников 6–11-х классов курсом внеурочной деятельности «Россия – мои горизонты» (федерального и регионального уровней)</w:t>
            </w:r>
          </w:p>
        </w:tc>
        <w:tc>
          <w:tcPr>
            <w:tcW w:w="4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E9EBE0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100 %</w:t>
            </w:r>
          </w:p>
        </w:tc>
      </w:tr>
      <w:tr w14:paraId="488650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44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E0E22A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Показатели участия учеников 6–11-х классов,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мероприятиях профессионального выбора</w:t>
            </w:r>
          </w:p>
        </w:tc>
        <w:tc>
          <w:tcPr>
            <w:tcW w:w="4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9529AE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100 %</w:t>
            </w:r>
          </w:p>
          <w:p w14:paraId="6EFCAD17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78882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44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19CF08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учеников 6–11-х классов, которые прошли профпробы, их доля от общего количества учеников 6–11-х классов</w:t>
            </w:r>
          </w:p>
        </w:tc>
        <w:tc>
          <w:tcPr>
            <w:tcW w:w="4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E15E4A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67%</w:t>
            </w:r>
          </w:p>
        </w:tc>
      </w:tr>
      <w:tr w14:paraId="668226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44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C87946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учеников 6–11-х классов, которые прошли онлайн-диагностику, их доля от общего количества учеников 6–11-х классов</w:t>
            </w:r>
          </w:p>
        </w:tc>
        <w:tc>
          <w:tcPr>
            <w:tcW w:w="4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8E5B4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67%</w:t>
            </w:r>
          </w:p>
        </w:tc>
      </w:tr>
      <w:tr w14:paraId="758B0A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44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C7AF50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Обобщенные результаты профориентационных диагностик</w:t>
            </w:r>
          </w:p>
        </w:tc>
        <w:tc>
          <w:tcPr>
            <w:tcW w:w="4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E7D40C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большинства учеников (73%) имеется интерес к какой-либо области деятельности, выстроен профессиональный план: выбрана профессия, продуманы пути ее получения и дальнейшая жизненная перспектива.</w:t>
            </w:r>
          </w:p>
        </w:tc>
      </w:tr>
      <w:tr w14:paraId="6C59B2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44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FC3050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Статистика по профилям интересов и способностей, которые выявили в результате онлайн-диагностики</w:t>
            </w:r>
          </w:p>
        </w:tc>
        <w:tc>
          <w:tcPr>
            <w:tcW w:w="4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628C85">
            <w:pPr>
              <w:numPr>
                <w:ilvl w:val="0"/>
                <w:numId w:val="1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Склонность к работе с людьми – 13%;</w:t>
            </w:r>
          </w:p>
          <w:p w14:paraId="7A91364E">
            <w:pPr>
              <w:numPr>
                <w:ilvl w:val="0"/>
                <w:numId w:val="1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склонность к исследовательской деятельности – 5%;</w:t>
            </w:r>
          </w:p>
          <w:p w14:paraId="4C007604">
            <w:pPr>
              <w:numPr>
                <w:ilvl w:val="0"/>
                <w:numId w:val="1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склонность к работе на производстве – 15%;</w:t>
            </w:r>
          </w:p>
          <w:p w14:paraId="62A40354">
            <w:pPr>
              <w:numPr>
                <w:ilvl w:val="0"/>
                <w:numId w:val="1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склонность к эстетическим видам деятельности – 38%;</w:t>
            </w:r>
          </w:p>
          <w:p w14:paraId="0E707E90">
            <w:pPr>
              <w:numPr>
                <w:ilvl w:val="0"/>
                <w:numId w:val="1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склонность к экстремальным видам деятельности – 9%;</w:t>
            </w:r>
          </w:p>
          <w:p w14:paraId="549C4681">
            <w:pPr>
              <w:numPr>
                <w:ilvl w:val="0"/>
                <w:numId w:val="1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склонность к планово-экономическим видам деятельности – 20%</w:t>
            </w:r>
          </w:p>
        </w:tc>
      </w:tr>
      <w:tr w14:paraId="4A6034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44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CF314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Статистика образовательно-профессиональных планов, которые выявили в результате онлайн-диагностики</w:t>
            </w:r>
          </w:p>
        </w:tc>
        <w:tc>
          <w:tcPr>
            <w:tcW w:w="4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BAA7A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 окончания 9-го класса:</w:t>
            </w:r>
          </w:p>
          <w:p w14:paraId="59B55610"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 собираются поступать в колледжи;</w:t>
            </w:r>
          </w:p>
          <w:p w14:paraId="5C1D352F"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 собираются поступать в 10-й класс.</w:t>
            </w:r>
          </w:p>
        </w:tc>
      </w:tr>
      <w:tr w14:paraId="6F30ED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44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55A715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и тематика региональных и федеральных мероприятий, которые проводит школа в рамках профориентационных мероприятий, по выбору (указать количество учеников 6–11-х классов, принявших участие, и их долю от общего количества учеников 6–11-х классов)</w:t>
            </w:r>
          </w:p>
        </w:tc>
        <w:tc>
          <w:tcPr>
            <w:tcW w:w="4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3B6317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Мероприятия в рамках проекта «Билет в будущее» – </w:t>
            </w:r>
            <w:r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80 человек, 67%.</w:t>
            </w:r>
          </w:p>
        </w:tc>
      </w:tr>
      <w:tr w14:paraId="6B0CBC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44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1DF1E1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Доля мероприятий, которые соответствуют профилям и запросам учеников 6–11-х классов, от общего количества мероприятий, которые провела школа в рамках профориентационных мероприятий, по выбору</w:t>
            </w:r>
          </w:p>
        </w:tc>
        <w:tc>
          <w:tcPr>
            <w:tcW w:w="4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16C47D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14:paraId="08B308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44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6956DB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дефицитов, по которым целесообразно подключать партнеров (указать количество учеников 6–11-х классов, для которых характерны эти дефициты)</w:t>
            </w:r>
          </w:p>
        </w:tc>
        <w:tc>
          <w:tcPr>
            <w:tcW w:w="4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DB112A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14:paraId="0DCAAB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44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EF4719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Формат привлечения партнеров</w:t>
            </w:r>
          </w:p>
        </w:tc>
        <w:tc>
          <w:tcPr>
            <w:tcW w:w="4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C7C7DC">
            <w:pPr>
              <w:numPr>
                <w:ilvl w:val="0"/>
                <w:numId w:val="1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и проведение профессиональных проб на базе организаций-партнеров;</w:t>
            </w:r>
          </w:p>
          <w:p w14:paraId="1D68CBBC">
            <w:pPr>
              <w:numPr>
                <w:ilvl w:val="0"/>
                <w:numId w:val="1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 организаций-партнеров к участию в Дне профессии, Дне открытых дверей, Дне выпускника;</w:t>
            </w:r>
          </w:p>
        </w:tc>
      </w:tr>
      <w:tr w14:paraId="47A125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44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8936E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организаций-партнеров, которые участвуют в проведении и организации мероприятий профессионального выбора, из них – количество высокотехнологичных компаний и предприятий субъекта РФ. Перечень партнеров, которых привлекли к профориентационной работе</w:t>
            </w:r>
          </w:p>
        </w:tc>
        <w:tc>
          <w:tcPr>
            <w:tcW w:w="4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CBF6F7">
            <w:pPr>
              <w:numPr>
                <w:ilvl w:val="0"/>
                <w:numId w:val="1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 xml:space="preserve">7 организаций-партнеров, </w:t>
            </w:r>
          </w:p>
        </w:tc>
      </w:tr>
      <w:tr w14:paraId="5188B6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44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B4D755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Доля профориентационных мероприятий, которые провели совместно с партнерами, по профилям интересов и способностей, которые выявили в результате онлайн-диагностики</w:t>
            </w:r>
          </w:p>
        </w:tc>
        <w:tc>
          <w:tcPr>
            <w:tcW w:w="4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2AA931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14:paraId="076BA4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44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E28D5D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 обратной связи:</w:t>
            </w:r>
          </w:p>
          <w:p w14:paraId="2E0F2815"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 качестве профориентационных мероприятий от школьников, родителей, педагогов;</w:t>
            </w:r>
          </w:p>
          <w:p w14:paraId="743321E4"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итогам проведенных профпроб и онлайн-диагностик</w:t>
            </w:r>
          </w:p>
        </w:tc>
        <w:tc>
          <w:tcPr>
            <w:tcW w:w="4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577304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14:paraId="2FFFCAC9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 проведенных профпроб и онлайн-диагностик на 87% соответствуют ожиданиям родителей, на 94% – ожиданиям обучающихся.</w:t>
            </w:r>
          </w:p>
        </w:tc>
      </w:tr>
      <w:tr w14:paraId="5ADFF0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44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97F92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нагрузки на участников проекта «Билет в будущее»</w:t>
            </w:r>
          </w:p>
        </w:tc>
        <w:tc>
          <w:tcPr>
            <w:tcW w:w="4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AEEF6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Удовлетворительная</w:t>
            </w:r>
          </w:p>
        </w:tc>
      </w:tr>
      <w:tr w14:paraId="335B7E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44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8472C1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долгосрочных эффектов проекта «Билет в будущее» (в динамике по ученикам)</w:t>
            </w:r>
          </w:p>
        </w:tc>
        <w:tc>
          <w:tcPr>
            <w:tcW w:w="4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56694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Удовлетворительная</w:t>
            </w:r>
          </w:p>
        </w:tc>
      </w:tr>
    </w:tbl>
    <w:p w14:paraId="4B916B16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ВЫВОДЫ</w:t>
      </w:r>
    </w:p>
    <w:p w14:paraId="6144723D"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Школа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2024-25</w:t>
      </w:r>
      <w:r>
        <w:rPr>
          <w:rFonts w:hAnsi="Times New Roman" w:cs="Times New Roman"/>
          <w:color w:val="000000"/>
          <w:sz w:val="24"/>
          <w:szCs w:val="24"/>
        </w:rPr>
        <w:t> учебном году реализовала ЕМП на базовом уровне в полном объеме. План мероприятий включает все необходимые мероприятия, предусмотренные для базового уровня. Все запланированные мероприятия выполнены.</w:t>
      </w:r>
    </w:p>
    <w:p w14:paraId="7B8C3ADE"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Мероприятиями для реализации ЕМП были охвачены 100 процентов обучающихся 6–11-х классов.</w:t>
      </w:r>
    </w:p>
    <w:p w14:paraId="79E2FFD6"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реализации ЕМП используются разнообразные формы урочной и внеурочной деятельности, современные педагогические технологии.</w:t>
      </w:r>
    </w:p>
    <w:p w14:paraId="03F69259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14:paraId="6CFE25DC"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Активизировать разъяснительную работу среди обучающихся и их родителей (законных представителей) о возможностях участия в проекте «Билет в будущее».</w:t>
      </w:r>
    </w:p>
    <w:p w14:paraId="240B7F21"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Усилить контроль со стороны классных руководителей за прохождением обучающимися профессиональных диагностик и использованием индивидуальных рекомендаций, выданных детям по результатам диагностик, в построении индивидуальных маршрутов школьников.</w:t>
      </w:r>
    </w:p>
    <w:p w14:paraId="1A419CCE"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Привлекать родителей учащихся к участию в реализации ЕМП.</w:t>
      </w:r>
    </w:p>
    <w:p w14:paraId="16E95F6A"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Проанализировать условия для реализации в 202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/2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учебном году ЕМП для 6–11-х классов на основном уровне.</w:t>
      </w:r>
    </w:p>
    <w:p w14:paraId="40FDC8A9">
      <w:pPr>
        <w:numPr>
          <w:numId w:val="0"/>
        </w:numPr>
        <w:spacing w:beforeAutospacing="1" w:afterAutospacing="1" w:line="240" w:lineRule="auto"/>
        <w:ind w:right="180" w:rightChars="0"/>
        <w:rPr>
          <w:rFonts w:hAnsi="Times New Roman" w:cs="Times New Roman"/>
          <w:color w:val="000000"/>
          <w:sz w:val="24"/>
          <w:szCs w:val="24"/>
        </w:rPr>
      </w:pPr>
    </w:p>
    <w:p w14:paraId="2601B965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Справку составил(а):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27"/>
        <w:gridCol w:w="182"/>
        <w:gridCol w:w="2868"/>
      </w:tblGrid>
      <w:tr w14:paraId="7DB3B3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828D851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5C9DD2E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5D14262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_____________________</w:t>
            </w:r>
          </w:p>
        </w:tc>
      </w:tr>
    </w:tbl>
    <w:p w14:paraId="688C8210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 справкой ознакомлен(ы):</w:t>
      </w:r>
    </w:p>
    <w:p w14:paraId="0383960E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9C8AC8EF"/>
    <w:multiLevelType w:val="multilevel"/>
    <w:tmpl w:val="9C8AC8E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B5E306ED"/>
    <w:multiLevelType w:val="multilevel"/>
    <w:tmpl w:val="B5E306E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BF205925"/>
    <w:multiLevelType w:val="multilevel"/>
    <w:tmpl w:val="BF20592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C8879AEF"/>
    <w:multiLevelType w:val="multilevel"/>
    <w:tmpl w:val="C8879AE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CF092B84"/>
    <w:multiLevelType w:val="multilevel"/>
    <w:tmpl w:val="CF092B8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D7F9FE59"/>
    <w:multiLevelType w:val="multilevel"/>
    <w:tmpl w:val="D7F9FE5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F4B5D9F5"/>
    <w:multiLevelType w:val="multilevel"/>
    <w:tmpl w:val="F4B5D9F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0053208E"/>
    <w:multiLevelType w:val="multilevel"/>
    <w:tmpl w:val="0053208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0248C179"/>
    <w:multiLevelType w:val="multilevel"/>
    <w:tmpl w:val="0248C17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03D62ECE"/>
    <w:multiLevelType w:val="multilevel"/>
    <w:tmpl w:val="03D62EC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0E640482"/>
    <w:multiLevelType w:val="multilevel"/>
    <w:tmpl w:val="0E64048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>
    <w:nsid w:val="2470EC97"/>
    <w:multiLevelType w:val="multilevel"/>
    <w:tmpl w:val="2470EC9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25B654F3"/>
    <w:multiLevelType w:val="multilevel"/>
    <w:tmpl w:val="25B654F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nsid w:val="2A8F537B"/>
    <w:multiLevelType w:val="multilevel"/>
    <w:tmpl w:val="2A8F537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>
    <w:nsid w:val="46A08BB8"/>
    <w:multiLevelType w:val="multilevel"/>
    <w:tmpl w:val="46A08BB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>
    <w:nsid w:val="4D4DC07F"/>
    <w:multiLevelType w:val="multilevel"/>
    <w:tmpl w:val="4D4DC07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7">
    <w:nsid w:val="59ADCABA"/>
    <w:multiLevelType w:val="multilevel"/>
    <w:tmpl w:val="59ADCAB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>
    <w:nsid w:val="5A241D34"/>
    <w:multiLevelType w:val="multilevel"/>
    <w:tmpl w:val="5A241D3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>
    <w:nsid w:val="60382F6E"/>
    <w:multiLevelType w:val="multilevel"/>
    <w:tmpl w:val="60382F6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>
    <w:nsid w:val="72183CF9"/>
    <w:multiLevelType w:val="multilevel"/>
    <w:tmpl w:val="72183CF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8"/>
  </w:num>
  <w:num w:numId="2">
    <w:abstractNumId w:val="5"/>
  </w:num>
  <w:num w:numId="3">
    <w:abstractNumId w:val="17"/>
  </w:num>
  <w:num w:numId="4">
    <w:abstractNumId w:val="3"/>
  </w:num>
  <w:num w:numId="5">
    <w:abstractNumId w:val="2"/>
  </w:num>
  <w:num w:numId="6">
    <w:abstractNumId w:val="10"/>
  </w:num>
  <w:num w:numId="7">
    <w:abstractNumId w:val="13"/>
  </w:num>
  <w:num w:numId="8">
    <w:abstractNumId w:val="20"/>
  </w:num>
  <w:num w:numId="9">
    <w:abstractNumId w:val="9"/>
  </w:num>
  <w:num w:numId="10">
    <w:abstractNumId w:val="0"/>
  </w:num>
  <w:num w:numId="11">
    <w:abstractNumId w:val="14"/>
  </w:num>
  <w:num w:numId="12">
    <w:abstractNumId w:val="18"/>
  </w:num>
  <w:num w:numId="13">
    <w:abstractNumId w:val="4"/>
  </w:num>
  <w:num w:numId="14">
    <w:abstractNumId w:val="16"/>
  </w:num>
  <w:num w:numId="15">
    <w:abstractNumId w:val="7"/>
  </w:num>
  <w:num w:numId="16">
    <w:abstractNumId w:val="12"/>
  </w:num>
  <w:num w:numId="17">
    <w:abstractNumId w:val="6"/>
  </w:num>
  <w:num w:numId="18">
    <w:abstractNumId w:val="1"/>
  </w:num>
  <w:num w:numId="19">
    <w:abstractNumId w:val="19"/>
  </w:num>
  <w:num w:numId="20">
    <w:abstractNumId w:val="11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  <w:rsid w:val="7799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5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Heading 1 Char"/>
    <w:basedOn w:val="3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>Professional</dc:creator>
  <dc:description>Подготовлено экспертами Группы Актион</dc:description>
  <cp:lastModifiedBy>Professional</cp:lastModifiedBy>
  <dcterms:modified xsi:type="dcterms:W3CDTF">2025-10-16T17:19:26Z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F062CB3FB2764EDEB051E14888EB7070_13</vt:lpwstr>
  </property>
</Properties>
</file>